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AC20E" w14:textId="77777777" w:rsidR="000961A3" w:rsidRDefault="00254673" w:rsidP="000961A3">
      <w:pPr>
        <w:pStyle w:val="DocumentTitle"/>
      </w:pPr>
      <w:r w:rsidRPr="00254673">
        <w:t>Double Up Food Bucks</w:t>
      </w:r>
    </w:p>
    <w:p w14:paraId="2A8AC20F" w14:textId="40570698" w:rsidR="00B3623C" w:rsidRPr="00B3623C" w:rsidRDefault="002E0BE2" w:rsidP="00B3623C">
      <w:pPr>
        <w:pStyle w:val="DocumentSubtitle"/>
      </w:pPr>
      <w:r>
        <w:t>Vendor Agreement (Token) - 20</w:t>
      </w:r>
      <w:r w:rsidR="00233297">
        <w:t>2</w:t>
      </w:r>
      <w:r w:rsidR="007529FB">
        <w:t>1</w:t>
      </w:r>
    </w:p>
    <w:p w14:paraId="2A8AC210" w14:textId="77777777" w:rsidR="001976AA" w:rsidRDefault="001976AA" w:rsidP="001976AA">
      <w:pPr>
        <w:pStyle w:val="NormalTextStyle"/>
      </w:pPr>
      <w:r w:rsidRPr="001976AA">
        <w:t>SI</w:t>
      </w:r>
      <w:r>
        <w:t>GNED CONTRACT MUST BE ON FILE FOR</w:t>
      </w:r>
      <w:r w:rsidRPr="001976AA">
        <w:t xml:space="preserve"> REIMBURSEMENT </w:t>
      </w:r>
    </w:p>
    <w:p w14:paraId="2A8AC211" w14:textId="77777777" w:rsidR="001976AA" w:rsidRDefault="001976AA" w:rsidP="001976AA">
      <w:pPr>
        <w:pStyle w:val="NormalTextStyle"/>
      </w:pPr>
    </w:p>
    <w:p w14:paraId="2A8AC212" w14:textId="604270CB" w:rsidR="001976AA" w:rsidRDefault="001976AA" w:rsidP="001976AA">
      <w:pPr>
        <w:pStyle w:val="NormalTextStyle"/>
      </w:pPr>
      <w:r>
        <w:t>This agreement by and between (Market Name):</w:t>
      </w:r>
      <w:r w:rsidR="00A8181F">
        <w:t xml:space="preserve">  Allen County Farmers’ Market</w:t>
      </w:r>
    </w:p>
    <w:p w14:paraId="2A8AC213" w14:textId="77777777" w:rsidR="001976AA" w:rsidRDefault="001976AA" w:rsidP="001976AA">
      <w:pPr>
        <w:pStyle w:val="NormalTextStyle"/>
      </w:pPr>
    </w:p>
    <w:p w14:paraId="2A8AC214" w14:textId="77777777" w:rsidR="001976AA" w:rsidRDefault="001976AA" w:rsidP="001976AA">
      <w:pPr>
        <w:pStyle w:val="NormalTextStyle"/>
      </w:pPr>
      <w:r>
        <w:t>And (Vendor Business Name):</w:t>
      </w:r>
    </w:p>
    <w:p w14:paraId="2A8AC215" w14:textId="77777777" w:rsidR="001976AA" w:rsidRDefault="001976AA" w:rsidP="001976AA">
      <w:pPr>
        <w:pStyle w:val="NormalTextStyle"/>
      </w:pPr>
      <w:r>
        <w:t>Address:</w:t>
      </w:r>
    </w:p>
    <w:p w14:paraId="2A8AC216" w14:textId="77777777" w:rsidR="001976AA" w:rsidRDefault="001976AA" w:rsidP="001976AA">
      <w:pPr>
        <w:pStyle w:val="NormalTextStyle"/>
      </w:pPr>
    </w:p>
    <w:p w14:paraId="2A8AC217" w14:textId="77777777" w:rsidR="001976AA" w:rsidRDefault="001976AA" w:rsidP="001976AA">
      <w:pPr>
        <w:pStyle w:val="NormalTextStyle"/>
      </w:pPr>
    </w:p>
    <w:p w14:paraId="2A8AC218" w14:textId="77777777" w:rsidR="001976AA" w:rsidRDefault="001976AA" w:rsidP="001976AA">
      <w:pPr>
        <w:pStyle w:val="NormalTextStyle"/>
      </w:pPr>
      <w:r>
        <w:t>Phone:</w:t>
      </w:r>
    </w:p>
    <w:p w14:paraId="2A8AC219" w14:textId="77777777" w:rsidR="001976AA" w:rsidRDefault="001976AA" w:rsidP="001976AA">
      <w:pPr>
        <w:pStyle w:val="NormalTextStyle"/>
      </w:pPr>
      <w:r>
        <w:t>Email:</w:t>
      </w:r>
    </w:p>
    <w:p w14:paraId="2A8AC21A" w14:textId="77777777" w:rsidR="001976AA" w:rsidRDefault="001976AA" w:rsidP="001976AA">
      <w:pPr>
        <w:pStyle w:val="NormalTextStyle"/>
      </w:pPr>
    </w:p>
    <w:p w14:paraId="2A8AC21B" w14:textId="00B36C97" w:rsidR="001976AA" w:rsidRDefault="001976AA" w:rsidP="001976AA">
      <w:pPr>
        <w:pStyle w:val="NormalTextStyle"/>
      </w:pPr>
      <w:r>
        <w:t>Is effective during the Double Up Food Bucks program season in 20</w:t>
      </w:r>
      <w:r w:rsidR="00233297">
        <w:t>2</w:t>
      </w:r>
      <w:r w:rsidR="007529FB">
        <w:t>1</w:t>
      </w:r>
      <w:r>
        <w:t xml:space="preserve"> at the Market (above). This agreement authorizes the Vendor (above) to accept Double Up Food Bucks tokens at the specified market from authorized SNAP Card participants in exchange for unprocessed locally-grown, fresh fruits and vegetables, in accordance with market and program guidelines.</w:t>
      </w:r>
    </w:p>
    <w:p w14:paraId="2A8AC21C" w14:textId="77777777" w:rsidR="001976AA" w:rsidRDefault="001976AA" w:rsidP="001976AA">
      <w:pPr>
        <w:pStyle w:val="NormalTextStyle"/>
      </w:pPr>
    </w:p>
    <w:p w14:paraId="2A8AC21D" w14:textId="77777777" w:rsidR="001976AA" w:rsidRDefault="001976AA" w:rsidP="001976AA">
      <w:pPr>
        <w:pStyle w:val="SubheadTier3"/>
      </w:pPr>
      <w:r>
        <w:t>SECTION I      BY SIGNING THIS AGREEMENT, THE VENDOR AGREES TO:</w:t>
      </w:r>
    </w:p>
    <w:p w14:paraId="2A8AC21E" w14:textId="77777777" w:rsidR="001976AA" w:rsidRDefault="001976AA" w:rsidP="00D56532">
      <w:pPr>
        <w:pStyle w:val="NormalTextStyle"/>
        <w:ind w:left="360" w:hanging="360"/>
      </w:pPr>
      <w:r>
        <w:t>1.</w:t>
      </w:r>
      <w:r>
        <w:tab/>
        <w:t>Display a sign, provided by the farmers market, indicating the Vendor accepts Double Up Food Bucks tokens.</w:t>
      </w:r>
    </w:p>
    <w:p w14:paraId="12B4FA33" w14:textId="22764958" w:rsidR="007529FB" w:rsidRDefault="001976AA" w:rsidP="007529FB">
      <w:pPr>
        <w:pStyle w:val="NormalTextStyle"/>
        <w:ind w:left="360" w:hanging="360"/>
      </w:pPr>
      <w:r>
        <w:t>2.</w:t>
      </w:r>
      <w:r>
        <w:tab/>
        <w:t xml:space="preserve">Provide only unprocessed </w:t>
      </w:r>
      <w:proofErr w:type="gramStart"/>
      <w:r>
        <w:t>locally-grown</w:t>
      </w:r>
      <w:proofErr w:type="gramEnd"/>
      <w:r>
        <w:t xml:space="preserve"> fresh fruit and vegetables in exchange for Double Up Food Bucks tokens. </w:t>
      </w:r>
    </w:p>
    <w:p w14:paraId="2A8AC220" w14:textId="77777777" w:rsidR="001976AA" w:rsidRDefault="001976AA" w:rsidP="00D56532">
      <w:pPr>
        <w:pStyle w:val="NormalTextStyle"/>
        <w:ind w:left="360" w:hanging="360"/>
      </w:pPr>
      <w:r>
        <w:t>3.</w:t>
      </w:r>
      <w:r>
        <w:tab/>
        <w:t xml:space="preserve">Prove, upon request, that all product provided in exchange for Double Up Food Bucks tokens was grown in </w:t>
      </w:r>
      <w:r w:rsidR="002E0BE2">
        <w:t>Kansas or Missouri</w:t>
      </w:r>
      <w:r>
        <w:t xml:space="preserve"> (or local as defined by the Market).</w:t>
      </w:r>
    </w:p>
    <w:p w14:paraId="2A8AC221" w14:textId="77777777" w:rsidR="001976AA" w:rsidRDefault="001976AA" w:rsidP="00D56532">
      <w:pPr>
        <w:pStyle w:val="NormalTextStyle"/>
        <w:ind w:left="360" w:hanging="360"/>
      </w:pPr>
      <w:r>
        <w:t>4.</w:t>
      </w:r>
      <w:r>
        <w:tab/>
        <w:t>Not give change for purchases made with Double Up Food Bucks tokens.</w:t>
      </w:r>
    </w:p>
    <w:p w14:paraId="2A8AC222" w14:textId="77777777" w:rsidR="001976AA" w:rsidRDefault="001976AA" w:rsidP="00D56532">
      <w:pPr>
        <w:pStyle w:val="NormalTextStyle"/>
        <w:ind w:left="360" w:hanging="360"/>
      </w:pPr>
      <w:r>
        <w:t>5.</w:t>
      </w:r>
      <w:r>
        <w:tab/>
        <w:t xml:space="preserve">Provide fruits and vegetables at the current price or less than the current price charged to other customers. </w:t>
      </w:r>
    </w:p>
    <w:p w14:paraId="2A8AC223" w14:textId="77777777" w:rsidR="001976AA" w:rsidRDefault="001976AA" w:rsidP="00D56532">
      <w:pPr>
        <w:pStyle w:val="NormalTextStyle"/>
        <w:ind w:left="360" w:hanging="360"/>
      </w:pPr>
      <w:r>
        <w:t>6.</w:t>
      </w:r>
      <w:r>
        <w:tab/>
        <w:t>Not allow the return of product purchased with Double Up Food Bucks tokens in exchange for cash or non-food items.</w:t>
      </w:r>
    </w:p>
    <w:p w14:paraId="2A8AC224" w14:textId="77777777" w:rsidR="001976AA" w:rsidRDefault="001976AA" w:rsidP="00D56532">
      <w:pPr>
        <w:pStyle w:val="NormalTextStyle"/>
        <w:ind w:left="360" w:hanging="360"/>
      </w:pPr>
      <w:r>
        <w:t>7.</w:t>
      </w:r>
      <w:r>
        <w:tab/>
        <w:t xml:space="preserve">Be monitored by the farmers </w:t>
      </w:r>
      <w:r w:rsidRPr="00BE6F3F">
        <w:t xml:space="preserve">market or </w:t>
      </w:r>
      <w:r w:rsidR="009A5AC5" w:rsidRPr="00BE6F3F">
        <w:t>Double Up Heartland</w:t>
      </w:r>
      <w:r w:rsidRPr="00BE6F3F">
        <w:t xml:space="preserve"> for</w:t>
      </w:r>
      <w:r>
        <w:t xml:space="preserve"> program compliance.</w:t>
      </w:r>
    </w:p>
    <w:p w14:paraId="2A8AC225" w14:textId="77777777" w:rsidR="00233297" w:rsidRDefault="001976AA" w:rsidP="00D56532">
      <w:pPr>
        <w:pStyle w:val="NormalTextStyle"/>
        <w:ind w:left="360" w:hanging="360"/>
      </w:pPr>
      <w:r>
        <w:t>8.</w:t>
      </w:r>
      <w:r>
        <w:tab/>
        <w:t>Not provide cash or credit in exchange for Double Up Food Bucks tokens.</w:t>
      </w:r>
    </w:p>
    <w:p w14:paraId="2A8AC226" w14:textId="77777777" w:rsidR="001976AA" w:rsidRDefault="001976AA" w:rsidP="00D56532">
      <w:pPr>
        <w:pStyle w:val="NormalTextStyle"/>
        <w:ind w:left="360" w:hanging="360"/>
      </w:pPr>
      <w:r>
        <w:t>9.</w:t>
      </w:r>
      <w:r>
        <w:tab/>
        <w:t>Not accept Double Up Food Bucks tokens for non-food items.</w:t>
      </w:r>
    </w:p>
    <w:p w14:paraId="2A8AC227" w14:textId="77777777" w:rsidR="00233297" w:rsidRDefault="00233297" w:rsidP="00D56532">
      <w:pPr>
        <w:pStyle w:val="NormalTextStyle"/>
        <w:ind w:left="360" w:hanging="360"/>
      </w:pPr>
      <w:r>
        <w:t xml:space="preserve">10. </w:t>
      </w:r>
      <w:r>
        <w:tab/>
        <w:t>Not charge sales tax on purchases with Double Up Food Bucks tokens.</w:t>
      </w:r>
    </w:p>
    <w:p w14:paraId="2A8AC228" w14:textId="77777777" w:rsidR="001976AA" w:rsidRDefault="001976AA" w:rsidP="00D56532">
      <w:pPr>
        <w:pStyle w:val="NormalTextStyle"/>
        <w:ind w:left="360" w:hanging="360"/>
      </w:pPr>
      <w:r>
        <w:t>1</w:t>
      </w:r>
      <w:r w:rsidR="00233297">
        <w:t>1</w:t>
      </w:r>
      <w:r>
        <w:t>.</w:t>
      </w:r>
      <w:r>
        <w:tab/>
        <w:t>Accept Double Up Food Bucks tokens from customers only during the market season.</w:t>
      </w:r>
    </w:p>
    <w:p w14:paraId="2A8AC229" w14:textId="77777777" w:rsidR="001976AA" w:rsidRDefault="001976AA" w:rsidP="00D56532">
      <w:pPr>
        <w:pStyle w:val="NormalTextStyle"/>
        <w:ind w:left="360" w:hanging="360"/>
      </w:pPr>
      <w:r>
        <w:t>1</w:t>
      </w:r>
      <w:r w:rsidR="00233297">
        <w:t>2</w:t>
      </w:r>
      <w:r>
        <w:t>.</w:t>
      </w:r>
      <w:r>
        <w:tab/>
        <w:t xml:space="preserve">Turn in all redeemed tokens to the farmers market for reimbursement in accordance with market and program guidelines. </w:t>
      </w:r>
      <w:r w:rsidR="008C394D">
        <w:t>It</w:t>
      </w:r>
      <w:r w:rsidR="008C394D" w:rsidRPr="008C394D">
        <w:t xml:space="preserve"> is preferred that tokens be turned in for reimbursement on a weekly</w:t>
      </w:r>
      <w:r w:rsidR="007E30FC">
        <w:t>, or at least monthly basis. Please do not hold on to tokens, submit them for reimbursement as often as the market allows.</w:t>
      </w:r>
    </w:p>
    <w:p w14:paraId="2A8AC22A" w14:textId="7B0DB6B3" w:rsidR="001925FC" w:rsidRDefault="001925FC" w:rsidP="00D56532">
      <w:pPr>
        <w:pStyle w:val="NormalTextStyle"/>
        <w:ind w:left="360" w:hanging="360"/>
      </w:pPr>
      <w:r>
        <w:t>1</w:t>
      </w:r>
      <w:r w:rsidR="00233297">
        <w:t>3</w:t>
      </w:r>
      <w:r>
        <w:t xml:space="preserve">. </w:t>
      </w:r>
      <w:r>
        <w:tab/>
        <w:t>Submit all tokens for repayment by</w:t>
      </w:r>
      <w:r w:rsidR="009A5AC5">
        <w:t xml:space="preserve"> the last market day for seasonal markets </w:t>
      </w:r>
      <w:r w:rsidR="009A5AC5" w:rsidRPr="009A5AC5">
        <w:t>or</w:t>
      </w:r>
      <w:r w:rsidRPr="009A5AC5">
        <w:t xml:space="preserve"> </w:t>
      </w:r>
      <w:r w:rsidR="009A5AC5" w:rsidRPr="009A5AC5">
        <w:t>December</w:t>
      </w:r>
      <w:r w:rsidRPr="009A5AC5">
        <w:t xml:space="preserve"> 31, 20</w:t>
      </w:r>
      <w:r w:rsidR="00233297" w:rsidRPr="009A5AC5">
        <w:t>2</w:t>
      </w:r>
      <w:r w:rsidR="007529FB">
        <w:t xml:space="preserve">1 </w:t>
      </w:r>
      <w:r w:rsidR="009A5AC5" w:rsidRPr="009A5AC5">
        <w:t>for year-round markets</w:t>
      </w:r>
      <w:r w:rsidR="007529FB">
        <w:t>.</w:t>
      </w:r>
    </w:p>
    <w:p w14:paraId="283A69B6" w14:textId="5C550C97" w:rsidR="007529FB" w:rsidRDefault="007529FB" w:rsidP="00D56532">
      <w:pPr>
        <w:pStyle w:val="NormalTextStyle"/>
        <w:ind w:left="360" w:hanging="360"/>
      </w:pPr>
      <w:r>
        <w:lastRenderedPageBreak/>
        <w:t xml:space="preserve">14. Only accept the </w:t>
      </w:r>
      <w:proofErr w:type="gramStart"/>
      <w:r>
        <w:t xml:space="preserve">plastic </w:t>
      </w:r>
      <w:r w:rsidRPr="007529FB">
        <w:rPr>
          <w:b/>
          <w:bCs/>
          <w:color w:val="7030A0"/>
        </w:rPr>
        <w:t>purple</w:t>
      </w:r>
      <w:proofErr w:type="gramEnd"/>
      <w:r>
        <w:t xml:space="preserve"> Double Up Food Bucks tokens. Any silver, orange, or green Double Up tokens are considered expired and the market cannot reimburse you for them.</w:t>
      </w:r>
    </w:p>
    <w:p w14:paraId="2A8AC22B" w14:textId="77777777" w:rsidR="001976AA" w:rsidRDefault="001976AA" w:rsidP="001976AA">
      <w:pPr>
        <w:pStyle w:val="NormalTextStyle"/>
      </w:pPr>
    </w:p>
    <w:p w14:paraId="2A8AC22C" w14:textId="77777777" w:rsidR="001976AA" w:rsidRDefault="001976AA" w:rsidP="001976AA">
      <w:pPr>
        <w:pStyle w:val="SubheadTier3"/>
      </w:pPr>
      <w:r>
        <w:t>SECTION II       THE MARKET AGREES TO:</w:t>
      </w:r>
    </w:p>
    <w:p w14:paraId="2A8AC22D" w14:textId="77777777" w:rsidR="001976AA" w:rsidRDefault="001976AA" w:rsidP="00D56532">
      <w:pPr>
        <w:pStyle w:val="NormalTextStyle"/>
        <w:ind w:left="360" w:hanging="360"/>
      </w:pPr>
      <w:r>
        <w:t>1.</w:t>
      </w:r>
      <w:r>
        <w:tab/>
        <w:t>Collect from the Vendor redeemed Double Up Food Bucks tokens and to account for and pay the Vendor for any tokens received.</w:t>
      </w:r>
    </w:p>
    <w:p w14:paraId="2A8AC22E" w14:textId="77777777" w:rsidR="001976AA" w:rsidRDefault="001976AA" w:rsidP="00D56532">
      <w:pPr>
        <w:pStyle w:val="NormalTextStyle"/>
        <w:ind w:left="360" w:hanging="360"/>
      </w:pPr>
      <w:r>
        <w:t>2.</w:t>
      </w:r>
      <w:r>
        <w:tab/>
        <w:t>Provide a sign for the Vendor to display indicating the Vendor accepts Double Up Food Bucks tokens.</w:t>
      </w:r>
    </w:p>
    <w:p w14:paraId="2A8AC22F" w14:textId="77777777" w:rsidR="001976AA" w:rsidRDefault="001976AA" w:rsidP="00D56532">
      <w:pPr>
        <w:pStyle w:val="NormalTextStyle"/>
        <w:ind w:left="360" w:hanging="360"/>
      </w:pPr>
      <w:r>
        <w:t>3.</w:t>
      </w:r>
      <w:r>
        <w:tab/>
        <w:t>Monitor sales to ensure program guidelines are followed.</w:t>
      </w:r>
    </w:p>
    <w:p w14:paraId="2A8AC230" w14:textId="77777777" w:rsidR="001976AA" w:rsidRDefault="001976AA" w:rsidP="00D56532">
      <w:pPr>
        <w:pStyle w:val="NormalTextStyle"/>
        <w:ind w:left="360" w:hanging="360"/>
      </w:pPr>
      <w:r>
        <w:t>4.</w:t>
      </w:r>
      <w:r>
        <w:tab/>
        <w:t xml:space="preserve">Submit signed </w:t>
      </w:r>
      <w:r w:rsidRPr="00BE6F3F">
        <w:t xml:space="preserve">agreement to </w:t>
      </w:r>
      <w:r w:rsidR="009A5AC5" w:rsidRPr="00BE6F3F">
        <w:t>Double Up Heartland</w:t>
      </w:r>
      <w:r w:rsidRPr="00BE6F3F">
        <w:t xml:space="preserve"> upon</w:t>
      </w:r>
      <w:r>
        <w:t xml:space="preserve"> request.</w:t>
      </w:r>
    </w:p>
    <w:p w14:paraId="2A8AC231" w14:textId="77777777" w:rsidR="001976AA" w:rsidRDefault="001976AA" w:rsidP="001976AA">
      <w:pPr>
        <w:pStyle w:val="NormalTextSty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8AC232" w14:textId="77777777" w:rsidR="001976AA" w:rsidRDefault="001976AA" w:rsidP="001976AA">
      <w:pPr>
        <w:pStyle w:val="SubheadTier3"/>
      </w:pPr>
      <w:r>
        <w:t>SECTION III      SANCTIONS</w:t>
      </w:r>
    </w:p>
    <w:p w14:paraId="2A8AC233" w14:textId="77777777" w:rsidR="001976AA" w:rsidRDefault="001976AA" w:rsidP="001976AA">
      <w:pPr>
        <w:pStyle w:val="NormalTextStyle"/>
      </w:pPr>
      <w:r>
        <w:t>A Vendor and/or his/her employees who violate the provisions above may be disqualified from the program and not allowed to participate in future programs.  A Vendor will only be reimbursed by the Market for Double Up Food Bucks tokens accepted in accordance with market and program guidelines.</w:t>
      </w:r>
    </w:p>
    <w:p w14:paraId="2A8AC234" w14:textId="77777777" w:rsidR="001976AA" w:rsidRDefault="001976AA" w:rsidP="001976AA">
      <w:pPr>
        <w:pStyle w:val="NormalTextStyle"/>
      </w:pPr>
    </w:p>
    <w:p w14:paraId="2A8AC235" w14:textId="77777777" w:rsidR="001976AA" w:rsidRDefault="001976AA" w:rsidP="001976AA">
      <w:pPr>
        <w:pStyle w:val="SubheadTier3"/>
      </w:pPr>
      <w:r>
        <w:t>SECTION IV    CERTIFICATION:</w:t>
      </w:r>
    </w:p>
    <w:p w14:paraId="2A8AC236" w14:textId="77777777" w:rsidR="001976AA" w:rsidRDefault="001976AA" w:rsidP="001976AA">
      <w:pPr>
        <w:pStyle w:val="NormalTextStyle"/>
      </w:pPr>
      <w:r>
        <w:t>The Vendor, through signature below, accepts all terms of this agreement.  This agreement becomes valid only upon signature.</w:t>
      </w:r>
    </w:p>
    <w:p w14:paraId="2A8AC237" w14:textId="77777777" w:rsidR="007C0539" w:rsidRDefault="007C0539" w:rsidP="001976AA">
      <w:pPr>
        <w:pStyle w:val="NormalTextStyle"/>
      </w:pPr>
    </w:p>
    <w:p w14:paraId="2A8AC238" w14:textId="77777777" w:rsidR="001976AA" w:rsidRDefault="001976AA" w:rsidP="001976AA">
      <w:pPr>
        <w:pStyle w:val="NormalTextStyle"/>
      </w:pPr>
    </w:p>
    <w:p w14:paraId="2A8AC239" w14:textId="77777777" w:rsidR="001976AA" w:rsidRDefault="00CE04F9" w:rsidP="001976AA">
      <w:pPr>
        <w:pStyle w:val="NormalTextStyle"/>
      </w:pPr>
      <w:r>
        <w:t>________</w:t>
      </w:r>
      <w:r w:rsidR="001976AA">
        <w:t>__________________________      ____</w:t>
      </w:r>
      <w:r>
        <w:t>__</w:t>
      </w:r>
      <w:r w:rsidR="001976AA">
        <w:t xml:space="preserve">____________________________ </w:t>
      </w:r>
      <w:r w:rsidR="001976AA">
        <w:tab/>
        <w:t>____________</w:t>
      </w:r>
    </w:p>
    <w:p w14:paraId="2A8AC23A" w14:textId="77777777" w:rsidR="001976AA" w:rsidRDefault="00CE04F9" w:rsidP="00CE04F9">
      <w:pPr>
        <w:pStyle w:val="NormalTextStyle"/>
        <w:ind w:left="720"/>
      </w:pPr>
      <w:r>
        <w:t xml:space="preserve">    </w:t>
      </w:r>
      <w:r w:rsidR="001976AA">
        <w:t>Name (type or print)</w:t>
      </w:r>
      <w:r w:rsidR="001976AA">
        <w:tab/>
        <w:t xml:space="preserve"> </w:t>
      </w:r>
      <w:r w:rsidR="001976AA">
        <w:tab/>
      </w:r>
      <w:r w:rsidR="001976AA">
        <w:tab/>
        <w:t xml:space="preserve">      </w:t>
      </w:r>
      <w:r>
        <w:tab/>
        <w:t xml:space="preserve">        </w:t>
      </w:r>
      <w:r w:rsidR="001976AA">
        <w:t>Signature</w:t>
      </w:r>
      <w:r w:rsidR="001976AA">
        <w:tab/>
      </w:r>
      <w:r w:rsidR="001976AA">
        <w:tab/>
      </w:r>
      <w:r w:rsidR="001976AA">
        <w:tab/>
        <w:t xml:space="preserve">         Date</w:t>
      </w:r>
    </w:p>
    <w:p w14:paraId="2A8AC23B" w14:textId="77777777" w:rsidR="00A719B0" w:rsidRPr="00257260" w:rsidRDefault="00A719B0" w:rsidP="00A97C8C">
      <w:pPr>
        <w:pStyle w:val="NormalTextStyle"/>
      </w:pPr>
    </w:p>
    <w:p w14:paraId="2A8AC23C" w14:textId="77777777" w:rsidR="00A719B0" w:rsidRPr="00257260" w:rsidRDefault="00A719B0" w:rsidP="00A97C8C">
      <w:pPr>
        <w:pStyle w:val="NormalTextStyle"/>
      </w:pPr>
    </w:p>
    <w:p w14:paraId="2A8AC23D" w14:textId="77777777" w:rsidR="00A719B0" w:rsidRPr="00257260" w:rsidRDefault="00A719B0" w:rsidP="00A97C8C">
      <w:pPr>
        <w:pStyle w:val="NormalTextStyle"/>
      </w:pPr>
    </w:p>
    <w:p w14:paraId="2A8AC23E" w14:textId="77777777" w:rsidR="00A719B0" w:rsidRPr="00257260" w:rsidRDefault="00A719B0" w:rsidP="00A97C8C">
      <w:pPr>
        <w:pStyle w:val="NormalTextStyle"/>
      </w:pPr>
    </w:p>
    <w:p w14:paraId="2A8AC23F" w14:textId="77777777" w:rsidR="00A719B0" w:rsidRPr="00257260" w:rsidRDefault="00A719B0" w:rsidP="00A97C8C">
      <w:pPr>
        <w:pStyle w:val="NormalTextStyle"/>
      </w:pPr>
    </w:p>
    <w:p w14:paraId="2A8AC240" w14:textId="77777777" w:rsidR="00A719B0" w:rsidRPr="00257260" w:rsidRDefault="00A719B0" w:rsidP="00A97C8C">
      <w:pPr>
        <w:pStyle w:val="NormalTextStyle"/>
      </w:pPr>
    </w:p>
    <w:p w14:paraId="2A8AC241" w14:textId="77777777" w:rsidR="00A719B0" w:rsidRPr="00257260" w:rsidRDefault="00A719B0" w:rsidP="00A97C8C">
      <w:pPr>
        <w:pStyle w:val="NormalTextStyle"/>
      </w:pPr>
    </w:p>
    <w:p w14:paraId="2A8AC242" w14:textId="77777777" w:rsidR="00A719B0" w:rsidRPr="00257260" w:rsidRDefault="00A719B0" w:rsidP="00A97C8C">
      <w:pPr>
        <w:pStyle w:val="NormalTextStyle"/>
      </w:pPr>
    </w:p>
    <w:p w14:paraId="2A8AC243" w14:textId="77777777" w:rsidR="00A719B0" w:rsidRPr="00257260" w:rsidRDefault="00A719B0" w:rsidP="00A97C8C">
      <w:pPr>
        <w:pStyle w:val="NormalTextStyle"/>
      </w:pPr>
    </w:p>
    <w:p w14:paraId="2A8AC244" w14:textId="77777777" w:rsidR="00A719B0" w:rsidRPr="00257260" w:rsidRDefault="00A719B0" w:rsidP="00A97C8C">
      <w:pPr>
        <w:pStyle w:val="NormalTextStyle"/>
      </w:pPr>
    </w:p>
    <w:p w14:paraId="2A8AC245" w14:textId="77777777" w:rsidR="00A719B0" w:rsidRPr="00257260" w:rsidRDefault="00A719B0" w:rsidP="00A97C8C">
      <w:pPr>
        <w:pStyle w:val="NormalTextStyle"/>
      </w:pPr>
    </w:p>
    <w:p w14:paraId="2A8AC246" w14:textId="77777777" w:rsidR="00A719B0" w:rsidRPr="00257260" w:rsidRDefault="00A719B0" w:rsidP="00A97C8C">
      <w:pPr>
        <w:pStyle w:val="NormalTextStyle"/>
      </w:pPr>
    </w:p>
    <w:p w14:paraId="2A8AC247" w14:textId="77777777" w:rsidR="00A719B0" w:rsidRPr="00257260" w:rsidRDefault="00A719B0" w:rsidP="00A97C8C">
      <w:pPr>
        <w:pStyle w:val="NormalTextStyle"/>
      </w:pPr>
    </w:p>
    <w:p w14:paraId="2A8AC248" w14:textId="77777777" w:rsidR="00A719B0" w:rsidRPr="00257260" w:rsidRDefault="00A719B0" w:rsidP="00A97C8C">
      <w:pPr>
        <w:pStyle w:val="NormalTextStyle"/>
      </w:pPr>
    </w:p>
    <w:p w14:paraId="2A8AC249" w14:textId="77777777" w:rsidR="00A719B0" w:rsidRPr="00257260" w:rsidRDefault="00A719B0" w:rsidP="00A97C8C">
      <w:pPr>
        <w:pStyle w:val="NormalTextStyle"/>
      </w:pPr>
    </w:p>
    <w:p w14:paraId="2A8AC24A" w14:textId="77777777" w:rsidR="00A719B0" w:rsidRPr="00257260" w:rsidRDefault="00A719B0" w:rsidP="00A97C8C">
      <w:pPr>
        <w:pStyle w:val="NormalTextStyle"/>
      </w:pPr>
    </w:p>
    <w:p w14:paraId="2A8AC24B" w14:textId="77777777" w:rsidR="00A719B0" w:rsidRPr="00257260" w:rsidRDefault="00A719B0" w:rsidP="00A97C8C">
      <w:pPr>
        <w:pStyle w:val="NormalTextStyle"/>
      </w:pPr>
    </w:p>
    <w:p w14:paraId="2A8AC24C" w14:textId="77777777" w:rsidR="00A719B0" w:rsidRPr="00257260" w:rsidRDefault="00A719B0" w:rsidP="00A97C8C">
      <w:pPr>
        <w:pStyle w:val="NormalTextStyle"/>
      </w:pPr>
    </w:p>
    <w:p w14:paraId="2A8AC24D" w14:textId="77777777" w:rsidR="00A719B0" w:rsidRPr="00257260" w:rsidRDefault="00A719B0" w:rsidP="00A97C8C">
      <w:pPr>
        <w:pStyle w:val="NormalTextStyle"/>
      </w:pPr>
    </w:p>
    <w:p w14:paraId="2A8AC24E" w14:textId="77777777" w:rsidR="00A719B0" w:rsidRPr="00257260" w:rsidRDefault="00A719B0" w:rsidP="00A97C8C">
      <w:pPr>
        <w:pStyle w:val="NormalTextStyle"/>
      </w:pPr>
    </w:p>
    <w:p w14:paraId="2A8AC24F" w14:textId="77777777" w:rsidR="00A719B0" w:rsidRPr="00257260" w:rsidRDefault="00A719B0" w:rsidP="00A97C8C">
      <w:pPr>
        <w:pStyle w:val="NormalTextStyle"/>
      </w:pPr>
    </w:p>
    <w:p w14:paraId="2A8AC250" w14:textId="77777777" w:rsidR="00A719B0" w:rsidRPr="00257260" w:rsidRDefault="00A719B0" w:rsidP="00A97C8C">
      <w:pPr>
        <w:pStyle w:val="NormalTextStyle"/>
      </w:pPr>
    </w:p>
    <w:p w14:paraId="2A8AC251" w14:textId="77777777" w:rsidR="00A719B0" w:rsidRPr="00257260" w:rsidRDefault="00A719B0" w:rsidP="00A97C8C">
      <w:pPr>
        <w:pStyle w:val="NormalTextStyle"/>
      </w:pPr>
    </w:p>
    <w:p w14:paraId="2A8AC252" w14:textId="77777777" w:rsidR="00A719B0" w:rsidRPr="00257260" w:rsidRDefault="00A719B0" w:rsidP="00A97C8C">
      <w:pPr>
        <w:pStyle w:val="NormalTextStyle"/>
      </w:pPr>
    </w:p>
    <w:p w14:paraId="2A8AC254" w14:textId="77777777" w:rsidR="00A719B0" w:rsidRPr="00257260" w:rsidRDefault="00A719B0" w:rsidP="00A97C8C">
      <w:pPr>
        <w:pStyle w:val="NormalTextStyle"/>
      </w:pPr>
    </w:p>
    <w:sectPr w:rsidR="00A719B0" w:rsidRPr="00257260" w:rsidSect="00102692">
      <w:headerReference w:type="even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6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8B917" w14:textId="77777777" w:rsidR="000A7F0B" w:rsidRDefault="000A7F0B">
      <w:r>
        <w:separator/>
      </w:r>
    </w:p>
  </w:endnote>
  <w:endnote w:type="continuationSeparator" w:id="0">
    <w:p w14:paraId="79F2EFDE" w14:textId="77777777" w:rsidR="000A7F0B" w:rsidRDefault="000A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thu">
    <w:altName w:val="Calibri"/>
    <w:charset w:val="00"/>
    <w:family w:val="auto"/>
    <w:pitch w:val="variable"/>
    <w:sig w:usb0="01000003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C25B" w14:textId="77777777" w:rsidR="00A97C8C" w:rsidRDefault="00A97C8C" w:rsidP="001026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AC25C" w14:textId="77777777" w:rsidR="00A97C8C" w:rsidRDefault="00A97C8C" w:rsidP="00A719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C25D" w14:textId="77777777" w:rsidR="00A97C8C" w:rsidRPr="00257260" w:rsidRDefault="00A97C8C" w:rsidP="00102692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b w:val="0"/>
        <w:sz w:val="20"/>
        <w:szCs w:val="20"/>
      </w:rPr>
    </w:pPr>
    <w:r w:rsidRPr="00257260">
      <w:rPr>
        <w:rStyle w:val="PageNumber"/>
        <w:rFonts w:asciiTheme="minorHAnsi" w:hAnsiTheme="minorHAnsi"/>
        <w:b w:val="0"/>
        <w:sz w:val="20"/>
        <w:szCs w:val="20"/>
      </w:rPr>
      <w:fldChar w:fldCharType="begin"/>
    </w:r>
    <w:r w:rsidRPr="00257260">
      <w:rPr>
        <w:rStyle w:val="PageNumber"/>
        <w:rFonts w:asciiTheme="minorHAnsi" w:hAnsiTheme="minorHAnsi"/>
        <w:b w:val="0"/>
        <w:sz w:val="20"/>
        <w:szCs w:val="20"/>
      </w:rPr>
      <w:instrText xml:space="preserve">PAGE  </w:instrText>
    </w:r>
    <w:r w:rsidRPr="00257260">
      <w:rPr>
        <w:rStyle w:val="PageNumber"/>
        <w:rFonts w:asciiTheme="minorHAnsi" w:hAnsiTheme="minorHAnsi"/>
        <w:b w:val="0"/>
        <w:sz w:val="20"/>
        <w:szCs w:val="20"/>
      </w:rPr>
      <w:fldChar w:fldCharType="separate"/>
    </w:r>
    <w:r w:rsidR="002E0BE2">
      <w:rPr>
        <w:rStyle w:val="PageNumber"/>
        <w:rFonts w:asciiTheme="minorHAnsi" w:hAnsiTheme="minorHAnsi"/>
        <w:b w:val="0"/>
        <w:noProof/>
        <w:sz w:val="20"/>
        <w:szCs w:val="20"/>
      </w:rPr>
      <w:t>2</w:t>
    </w:r>
    <w:r w:rsidRPr="00257260">
      <w:rPr>
        <w:rStyle w:val="PageNumber"/>
        <w:rFonts w:asciiTheme="minorHAnsi" w:hAnsiTheme="minorHAnsi"/>
        <w:b w:val="0"/>
        <w:sz w:val="20"/>
        <w:szCs w:val="20"/>
      </w:rPr>
      <w:fldChar w:fldCharType="end"/>
    </w:r>
  </w:p>
  <w:sdt>
    <w:sdtPr>
      <w:rPr>
        <w:rFonts w:ascii="Arial Narrow" w:hAnsi="Arial Narrow" w:cs="Times New Roman"/>
        <w:b w:val="0"/>
        <w:bCs w:val="0"/>
        <w:color w:val="auto"/>
        <w:sz w:val="16"/>
        <w:szCs w:val="24"/>
      </w:rPr>
      <w:id w:val="-2038495610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b/>
        <w:bCs/>
        <w:noProof/>
        <w:color w:val="64B747"/>
        <w:sz w:val="20"/>
        <w:szCs w:val="20"/>
      </w:rPr>
    </w:sdtEndPr>
    <w:sdtContent>
      <w:p w14:paraId="2A8AC25E" w14:textId="77777777" w:rsidR="00A97C8C" w:rsidRPr="00257260" w:rsidRDefault="002E0BE2" w:rsidP="002E0BE2">
        <w:pPr>
          <w:pStyle w:val="FooterStyle"/>
          <w:tabs>
            <w:tab w:val="clear" w:pos="2160"/>
            <w:tab w:val="clear" w:pos="9360"/>
          </w:tabs>
          <w:ind w:right="360"/>
          <w:jc w:val="left"/>
        </w:pPr>
        <w:r>
          <w:t>Pre-Season Vendor Agreement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C2D4" w14:textId="77777777" w:rsidR="000A7F0B" w:rsidRDefault="000A7F0B">
      <w:r>
        <w:separator/>
      </w:r>
    </w:p>
  </w:footnote>
  <w:footnote w:type="continuationSeparator" w:id="0">
    <w:p w14:paraId="1DC51296" w14:textId="77777777" w:rsidR="000A7F0B" w:rsidRDefault="000A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C259" w14:textId="77777777" w:rsidR="00A97C8C" w:rsidRDefault="00A97C8C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AC25A" w14:textId="77777777" w:rsidR="00A97C8C" w:rsidRDefault="00A97C8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C25F" w14:textId="77777777" w:rsidR="00A97C8C" w:rsidRDefault="00233297" w:rsidP="00871872">
    <w:pPr>
      <w:jc w:val="right"/>
    </w:pPr>
    <w:r>
      <w:rPr>
        <w:noProof/>
      </w:rPr>
      <w:drawing>
        <wp:inline distT="0" distB="0" distL="0" distR="0" wp14:anchorId="2A8AC260" wp14:editId="2A8AC261">
          <wp:extent cx="804545" cy="1017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260B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8A4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3602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57AA4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DA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C0A8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B00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20CA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9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FE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48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F71E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933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A726DA1"/>
    <w:multiLevelType w:val="multilevel"/>
    <w:tmpl w:val="0409001D"/>
    <w:numStyleLink w:val="MGFFListBullets"/>
  </w:abstractNum>
  <w:abstractNum w:abstractNumId="14" w15:restartNumberingAfterBreak="0">
    <w:nsid w:val="140A66CB"/>
    <w:multiLevelType w:val="multilevel"/>
    <w:tmpl w:val="0409001D"/>
    <w:styleLink w:val="MGFF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4"/>
      </w:rPr>
    </w:lvl>
    <w:lvl w:ilvl="2">
      <w:start w:val="1"/>
      <w:numFmt w:val="bullet"/>
      <w:pStyle w:val="BulletStyle3"/>
      <w:lvlText w:val=""/>
      <w:lvlJc w:val="left"/>
      <w:pPr>
        <w:ind w:left="1080" w:hanging="360"/>
      </w:pPr>
      <w:rPr>
        <w:rFonts w:ascii="Sathu" w:hAnsi="Sathu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170830A4"/>
    <w:multiLevelType w:val="multilevel"/>
    <w:tmpl w:val="3746F95A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9C0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1DE0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2BA6453"/>
    <w:multiLevelType w:val="multilevel"/>
    <w:tmpl w:val="436AC912"/>
    <w:lvl w:ilvl="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251965D9"/>
    <w:multiLevelType w:val="singleLevel"/>
    <w:tmpl w:val="75A83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2FBF6C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4852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602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172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CC1FB0"/>
    <w:multiLevelType w:val="multilevel"/>
    <w:tmpl w:val="0409001D"/>
    <w:numStyleLink w:val="MGFFListBullets"/>
  </w:abstractNum>
  <w:abstractNum w:abstractNumId="25" w15:restartNumberingAfterBreak="0">
    <w:nsid w:val="3E464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01004B"/>
    <w:multiLevelType w:val="multilevel"/>
    <w:tmpl w:val="5B4A951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E832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D014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290E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2C5A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BA0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E96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3E7DAF"/>
    <w:multiLevelType w:val="hybridMultilevel"/>
    <w:tmpl w:val="854AF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B41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803877"/>
    <w:multiLevelType w:val="hybridMultilevel"/>
    <w:tmpl w:val="E532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B1F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27292E"/>
    <w:multiLevelType w:val="hybridMultilevel"/>
    <w:tmpl w:val="EC74B514"/>
    <w:lvl w:ilvl="0" w:tplc="56FA3F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A2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40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3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89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85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87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6F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4F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5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C235AED"/>
    <w:multiLevelType w:val="hybridMultilevel"/>
    <w:tmpl w:val="FDE03168"/>
    <w:lvl w:ilvl="0" w:tplc="3CE6D2D6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316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745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7B69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6529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26"/>
  </w:num>
  <w:num w:numId="3">
    <w:abstractNumId w:val="18"/>
  </w:num>
  <w:num w:numId="4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7"/>
  </w:num>
  <w:num w:numId="7">
    <w:abstractNumId w:val="28"/>
  </w:num>
  <w:num w:numId="8">
    <w:abstractNumId w:val="38"/>
  </w:num>
  <w:num w:numId="9">
    <w:abstractNumId w:val="22"/>
  </w:num>
  <w:num w:numId="10">
    <w:abstractNumId w:val="11"/>
  </w:num>
  <w:num w:numId="11">
    <w:abstractNumId w:val="30"/>
  </w:num>
  <w:num w:numId="12">
    <w:abstractNumId w:val="23"/>
  </w:num>
  <w:num w:numId="13">
    <w:abstractNumId w:val="12"/>
  </w:num>
  <w:num w:numId="14">
    <w:abstractNumId w:val="21"/>
  </w:num>
  <w:num w:numId="15">
    <w:abstractNumId w:val="29"/>
  </w:num>
  <w:num w:numId="16">
    <w:abstractNumId w:val="32"/>
  </w:num>
  <w:num w:numId="17">
    <w:abstractNumId w:val="34"/>
  </w:num>
  <w:num w:numId="18">
    <w:abstractNumId w:val="36"/>
  </w:num>
  <w:num w:numId="19">
    <w:abstractNumId w:val="41"/>
  </w:num>
  <w:num w:numId="20">
    <w:abstractNumId w:val="40"/>
  </w:num>
  <w:num w:numId="21">
    <w:abstractNumId w:val="43"/>
  </w:num>
  <w:num w:numId="22">
    <w:abstractNumId w:val="27"/>
  </w:num>
  <w:num w:numId="23">
    <w:abstractNumId w:val="20"/>
  </w:num>
  <w:num w:numId="24">
    <w:abstractNumId w:val="25"/>
  </w:num>
  <w:num w:numId="25">
    <w:abstractNumId w:val="31"/>
  </w:num>
  <w:num w:numId="26">
    <w:abstractNumId w:val="16"/>
  </w:num>
  <w:num w:numId="27">
    <w:abstractNumId w:val="19"/>
  </w:num>
  <w:num w:numId="28">
    <w:abstractNumId w:val="35"/>
  </w:num>
  <w:num w:numId="29">
    <w:abstractNumId w:val="37"/>
  </w:num>
  <w:num w:numId="30">
    <w:abstractNumId w:val="33"/>
  </w:num>
  <w:num w:numId="31">
    <w:abstractNumId w:val="15"/>
  </w:num>
  <w:num w:numId="32">
    <w:abstractNumId w:val="13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sz w:val="20"/>
          <w:szCs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athu" w:hAnsi="Sathu" w:hint="default"/>
          <w:sz w:val="28"/>
          <w:szCs w:val="28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4"/>
  </w:num>
  <w:num w:numId="35">
    <w:abstractNumId w:val="9"/>
  </w:num>
  <w:num w:numId="36">
    <w:abstractNumId w:val="0"/>
  </w:num>
  <w:num w:numId="37">
    <w:abstractNumId w:val="10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3"/>
    <w:rsid w:val="000237B3"/>
    <w:rsid w:val="0006176D"/>
    <w:rsid w:val="00084ECE"/>
    <w:rsid w:val="0009527A"/>
    <w:rsid w:val="000961A3"/>
    <w:rsid w:val="00097879"/>
    <w:rsid w:val="000A0A1C"/>
    <w:rsid w:val="000A7F0B"/>
    <w:rsid w:val="000B1787"/>
    <w:rsid w:val="000C5A52"/>
    <w:rsid w:val="000C5BC0"/>
    <w:rsid w:val="000C7E27"/>
    <w:rsid w:val="000D4EF3"/>
    <w:rsid w:val="000F5663"/>
    <w:rsid w:val="00102692"/>
    <w:rsid w:val="00133BC3"/>
    <w:rsid w:val="001518EB"/>
    <w:rsid w:val="00182C8B"/>
    <w:rsid w:val="001856E5"/>
    <w:rsid w:val="001925FC"/>
    <w:rsid w:val="001976AA"/>
    <w:rsid w:val="001A608D"/>
    <w:rsid w:val="001B0AAD"/>
    <w:rsid w:val="001D31A3"/>
    <w:rsid w:val="002275C4"/>
    <w:rsid w:val="00230D1B"/>
    <w:rsid w:val="00233297"/>
    <w:rsid w:val="002454DA"/>
    <w:rsid w:val="002518C4"/>
    <w:rsid w:val="00254673"/>
    <w:rsid w:val="00257260"/>
    <w:rsid w:val="0026515C"/>
    <w:rsid w:val="002A51CA"/>
    <w:rsid w:val="002C2C9F"/>
    <w:rsid w:val="002C4428"/>
    <w:rsid w:val="002D4D9F"/>
    <w:rsid w:val="002E0BE2"/>
    <w:rsid w:val="002F5767"/>
    <w:rsid w:val="00343836"/>
    <w:rsid w:val="003618D9"/>
    <w:rsid w:val="00381EC5"/>
    <w:rsid w:val="003A72D2"/>
    <w:rsid w:val="003B180A"/>
    <w:rsid w:val="003B2B63"/>
    <w:rsid w:val="003E65EB"/>
    <w:rsid w:val="003F4C49"/>
    <w:rsid w:val="00405981"/>
    <w:rsid w:val="004357C0"/>
    <w:rsid w:val="004430A3"/>
    <w:rsid w:val="004440F8"/>
    <w:rsid w:val="00460F1D"/>
    <w:rsid w:val="0046293A"/>
    <w:rsid w:val="004872B2"/>
    <w:rsid w:val="00491DF6"/>
    <w:rsid w:val="004B77F8"/>
    <w:rsid w:val="004E3518"/>
    <w:rsid w:val="004E6D87"/>
    <w:rsid w:val="004F1D15"/>
    <w:rsid w:val="004F4228"/>
    <w:rsid w:val="005038EC"/>
    <w:rsid w:val="00510387"/>
    <w:rsid w:val="00514F68"/>
    <w:rsid w:val="00536F20"/>
    <w:rsid w:val="00575739"/>
    <w:rsid w:val="00580022"/>
    <w:rsid w:val="00580BC1"/>
    <w:rsid w:val="0059098C"/>
    <w:rsid w:val="00593202"/>
    <w:rsid w:val="005B265E"/>
    <w:rsid w:val="005D55AB"/>
    <w:rsid w:val="005D7FF4"/>
    <w:rsid w:val="005E0B30"/>
    <w:rsid w:val="005E6768"/>
    <w:rsid w:val="00621A99"/>
    <w:rsid w:val="0064343D"/>
    <w:rsid w:val="00654726"/>
    <w:rsid w:val="00663A07"/>
    <w:rsid w:val="00670822"/>
    <w:rsid w:val="00691C4F"/>
    <w:rsid w:val="006B3C23"/>
    <w:rsid w:val="006C7E40"/>
    <w:rsid w:val="006D104B"/>
    <w:rsid w:val="006D49DC"/>
    <w:rsid w:val="006D7039"/>
    <w:rsid w:val="006F2FD6"/>
    <w:rsid w:val="007047B6"/>
    <w:rsid w:val="0070681F"/>
    <w:rsid w:val="00722FD1"/>
    <w:rsid w:val="00730C36"/>
    <w:rsid w:val="00731401"/>
    <w:rsid w:val="00741072"/>
    <w:rsid w:val="00746F5E"/>
    <w:rsid w:val="007529FB"/>
    <w:rsid w:val="00767456"/>
    <w:rsid w:val="0077140C"/>
    <w:rsid w:val="007A095E"/>
    <w:rsid w:val="007A75E5"/>
    <w:rsid w:val="007C0539"/>
    <w:rsid w:val="007C08AC"/>
    <w:rsid w:val="007D65D1"/>
    <w:rsid w:val="007E30FC"/>
    <w:rsid w:val="0080354A"/>
    <w:rsid w:val="00805A57"/>
    <w:rsid w:val="00871872"/>
    <w:rsid w:val="008732D6"/>
    <w:rsid w:val="00880FCC"/>
    <w:rsid w:val="00894B9D"/>
    <w:rsid w:val="008A3E7B"/>
    <w:rsid w:val="008B555D"/>
    <w:rsid w:val="008C30AF"/>
    <w:rsid w:val="008C394D"/>
    <w:rsid w:val="008D0BCC"/>
    <w:rsid w:val="00921719"/>
    <w:rsid w:val="00935593"/>
    <w:rsid w:val="0094137D"/>
    <w:rsid w:val="00946910"/>
    <w:rsid w:val="00967324"/>
    <w:rsid w:val="00973351"/>
    <w:rsid w:val="0097647B"/>
    <w:rsid w:val="009A5AC5"/>
    <w:rsid w:val="009A6E90"/>
    <w:rsid w:val="009B0601"/>
    <w:rsid w:val="009B28DC"/>
    <w:rsid w:val="009C4C4C"/>
    <w:rsid w:val="009D78CF"/>
    <w:rsid w:val="009F335C"/>
    <w:rsid w:val="00A00C36"/>
    <w:rsid w:val="00A1406E"/>
    <w:rsid w:val="00A21A14"/>
    <w:rsid w:val="00A27171"/>
    <w:rsid w:val="00A6288B"/>
    <w:rsid w:val="00A70790"/>
    <w:rsid w:val="00A719B0"/>
    <w:rsid w:val="00A71AF3"/>
    <w:rsid w:val="00A8181F"/>
    <w:rsid w:val="00A83F94"/>
    <w:rsid w:val="00A84CD8"/>
    <w:rsid w:val="00A97C8C"/>
    <w:rsid w:val="00AA17EF"/>
    <w:rsid w:val="00AC59F7"/>
    <w:rsid w:val="00AD5A6D"/>
    <w:rsid w:val="00AE4858"/>
    <w:rsid w:val="00AF1A70"/>
    <w:rsid w:val="00AF5650"/>
    <w:rsid w:val="00AF6480"/>
    <w:rsid w:val="00B1492C"/>
    <w:rsid w:val="00B17EDB"/>
    <w:rsid w:val="00B21629"/>
    <w:rsid w:val="00B25028"/>
    <w:rsid w:val="00B264C1"/>
    <w:rsid w:val="00B3623C"/>
    <w:rsid w:val="00B417D1"/>
    <w:rsid w:val="00B5683F"/>
    <w:rsid w:val="00B8605D"/>
    <w:rsid w:val="00BA400A"/>
    <w:rsid w:val="00BB0648"/>
    <w:rsid w:val="00BB75CA"/>
    <w:rsid w:val="00BD5231"/>
    <w:rsid w:val="00BE6F3F"/>
    <w:rsid w:val="00C024F4"/>
    <w:rsid w:val="00C10A83"/>
    <w:rsid w:val="00C10CB4"/>
    <w:rsid w:val="00C21619"/>
    <w:rsid w:val="00C228C1"/>
    <w:rsid w:val="00C35B6C"/>
    <w:rsid w:val="00C40E0D"/>
    <w:rsid w:val="00C50D5F"/>
    <w:rsid w:val="00C52A1E"/>
    <w:rsid w:val="00C55E23"/>
    <w:rsid w:val="00C70C32"/>
    <w:rsid w:val="00C75739"/>
    <w:rsid w:val="00C868CF"/>
    <w:rsid w:val="00C870DA"/>
    <w:rsid w:val="00C92C71"/>
    <w:rsid w:val="00C9500E"/>
    <w:rsid w:val="00CC0347"/>
    <w:rsid w:val="00CC3F97"/>
    <w:rsid w:val="00CE04F9"/>
    <w:rsid w:val="00CE27CB"/>
    <w:rsid w:val="00CE29F6"/>
    <w:rsid w:val="00CE792D"/>
    <w:rsid w:val="00D017AC"/>
    <w:rsid w:val="00D107A5"/>
    <w:rsid w:val="00D112E7"/>
    <w:rsid w:val="00D11F3B"/>
    <w:rsid w:val="00D52F8E"/>
    <w:rsid w:val="00D56532"/>
    <w:rsid w:val="00D57314"/>
    <w:rsid w:val="00D62370"/>
    <w:rsid w:val="00D63662"/>
    <w:rsid w:val="00D73D01"/>
    <w:rsid w:val="00D8592C"/>
    <w:rsid w:val="00D875D4"/>
    <w:rsid w:val="00D946C6"/>
    <w:rsid w:val="00DB67F8"/>
    <w:rsid w:val="00DC4986"/>
    <w:rsid w:val="00DE1376"/>
    <w:rsid w:val="00DE7ED5"/>
    <w:rsid w:val="00DF0712"/>
    <w:rsid w:val="00DF58A2"/>
    <w:rsid w:val="00E00BE0"/>
    <w:rsid w:val="00E03128"/>
    <w:rsid w:val="00E1092C"/>
    <w:rsid w:val="00E30A80"/>
    <w:rsid w:val="00E65FC1"/>
    <w:rsid w:val="00E86891"/>
    <w:rsid w:val="00E87EC6"/>
    <w:rsid w:val="00EC433E"/>
    <w:rsid w:val="00ED5C7E"/>
    <w:rsid w:val="00EE5C92"/>
    <w:rsid w:val="00F233B1"/>
    <w:rsid w:val="00F413CD"/>
    <w:rsid w:val="00F44957"/>
    <w:rsid w:val="00F54D09"/>
    <w:rsid w:val="00FA3CC6"/>
    <w:rsid w:val="00FD2916"/>
    <w:rsid w:val="00FE55B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AC20E"/>
  <w15:docId w15:val="{B214674D-AEBB-470E-850D-7B610AF4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C433E"/>
    <w:pPr>
      <w:spacing w:line="26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rsid w:val="00921719"/>
    <w:pPr>
      <w:keepNext/>
      <w:spacing w:before="240" w:after="120"/>
      <w:outlineLvl w:val="0"/>
    </w:pPr>
    <w:rPr>
      <w:rFonts w:ascii="Georgia" w:hAnsi="Georgia" w:cs="Arial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rsid w:val="00536F20"/>
    <w:pPr>
      <w:keepNext/>
      <w:spacing w:after="120"/>
      <w:outlineLvl w:val="1"/>
    </w:pPr>
    <w:rPr>
      <w:rFonts w:ascii="Georgia" w:hAnsi="Georgia" w:cs="Arial"/>
      <w:b/>
      <w:bCs/>
      <w:iCs/>
      <w:color w:val="000000" w:themeColor="text1"/>
      <w:sz w:val="26"/>
      <w:szCs w:val="28"/>
    </w:rPr>
  </w:style>
  <w:style w:type="paragraph" w:styleId="Heading3">
    <w:name w:val="heading 3"/>
    <w:basedOn w:val="Normal"/>
    <w:next w:val="Normal"/>
    <w:rsid w:val="00536F20"/>
    <w:pPr>
      <w:keepNext/>
      <w:spacing w:after="80"/>
      <w:outlineLvl w:val="2"/>
    </w:pPr>
    <w:rPr>
      <w:rFonts w:ascii="Georgia" w:hAnsi="Georgia" w:cs="Arial"/>
      <w:b/>
      <w:bCs/>
      <w:color w:val="000000" w:themeColor="text1"/>
      <w:sz w:val="24"/>
      <w:szCs w:val="26"/>
    </w:rPr>
  </w:style>
  <w:style w:type="paragraph" w:styleId="Heading4">
    <w:name w:val="heading 4"/>
    <w:basedOn w:val="Normal"/>
    <w:next w:val="Normal"/>
    <w:rsid w:val="00FE7A5A"/>
    <w:pPr>
      <w:keepNext/>
      <w:spacing w:before="120"/>
      <w:ind w:left="7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BodyText">
    <w:name w:val="Document Body Text"/>
    <w:basedOn w:val="Normal"/>
    <w:rsid w:val="00FE7A5A"/>
    <w:pPr>
      <w:ind w:left="720"/>
    </w:pPr>
  </w:style>
  <w:style w:type="paragraph" w:customStyle="1" w:styleId="DocumentTitle">
    <w:name w:val="Document Title"/>
    <w:basedOn w:val="Normal"/>
    <w:qFormat/>
    <w:rsid w:val="001518EB"/>
    <w:pPr>
      <w:spacing w:before="240"/>
      <w:ind w:right="-1814"/>
    </w:pPr>
    <w:rPr>
      <w:rFonts w:ascii="Georgia" w:eastAsiaTheme="minorHAnsi" w:hAnsi="Georgia" w:cstheme="minorBidi"/>
      <w:b/>
      <w:bCs/>
      <w:color w:val="2B8936"/>
      <w:sz w:val="44"/>
      <w:szCs w:val="44"/>
    </w:rPr>
  </w:style>
  <w:style w:type="paragraph" w:customStyle="1" w:styleId="DocumentSubtitle">
    <w:name w:val="Document Subtitle"/>
    <w:basedOn w:val="DocumentTitle"/>
    <w:next w:val="Normal"/>
    <w:qFormat/>
    <w:rsid w:val="001518EB"/>
    <w:pPr>
      <w:spacing w:before="0" w:after="360"/>
    </w:pPr>
    <w:rPr>
      <w:rFonts w:ascii="Calibri" w:hAnsi="Calibri" w:cs="Arial"/>
      <w:color w:val="64B747"/>
      <w:sz w:val="28"/>
      <w:szCs w:val="28"/>
    </w:rPr>
  </w:style>
  <w:style w:type="paragraph" w:customStyle="1" w:styleId="DocumentSmallText">
    <w:name w:val="Document Small Text"/>
    <w:basedOn w:val="Normal"/>
    <w:rsid w:val="00FE7A5A"/>
    <w:rPr>
      <w:sz w:val="16"/>
    </w:rPr>
  </w:style>
  <w:style w:type="paragraph" w:customStyle="1" w:styleId="Bullet">
    <w:name w:val="Bullet"/>
    <w:basedOn w:val="DocumentBodyText"/>
    <w:rsid w:val="00FE7A5A"/>
    <w:pPr>
      <w:numPr>
        <w:numId w:val="2"/>
      </w:numPr>
      <w:spacing w:after="80" w:line="240" w:lineRule="auto"/>
    </w:pPr>
  </w:style>
  <w:style w:type="paragraph" w:styleId="Footer">
    <w:name w:val="footer"/>
    <w:link w:val="FooterChar"/>
    <w:uiPriority w:val="99"/>
    <w:rsid w:val="002454DA"/>
    <w:pPr>
      <w:tabs>
        <w:tab w:val="left" w:pos="2160"/>
        <w:tab w:val="right" w:pos="9360"/>
      </w:tabs>
    </w:pPr>
    <w:rPr>
      <w:rFonts w:ascii="Calibri" w:hAnsi="Calibri"/>
      <w:szCs w:val="24"/>
    </w:rPr>
  </w:style>
  <w:style w:type="character" w:styleId="PageNumber">
    <w:name w:val="page number"/>
    <w:basedOn w:val="DefaultParagraphFont"/>
    <w:rsid w:val="00A719B0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semiHidden/>
    <w:rsid w:val="00FE7A5A"/>
  </w:style>
  <w:style w:type="paragraph" w:customStyle="1" w:styleId="TableofContentsTitle">
    <w:name w:val="Table of Contents Title"/>
    <w:basedOn w:val="Normal"/>
    <w:next w:val="Normal"/>
    <w:rsid w:val="00FE7A5A"/>
    <w:pPr>
      <w:spacing w:after="240"/>
    </w:pPr>
    <w:rPr>
      <w:b/>
      <w:sz w:val="32"/>
    </w:rPr>
  </w:style>
  <w:style w:type="paragraph" w:styleId="TOC2">
    <w:name w:val="toc 2"/>
    <w:basedOn w:val="Normal"/>
    <w:next w:val="Normal"/>
    <w:autoRedefine/>
    <w:semiHidden/>
    <w:rsid w:val="00FE7A5A"/>
    <w:pPr>
      <w:ind w:left="200"/>
    </w:pPr>
  </w:style>
  <w:style w:type="paragraph" w:styleId="TOC3">
    <w:name w:val="toc 3"/>
    <w:basedOn w:val="Normal"/>
    <w:next w:val="Normal"/>
    <w:autoRedefine/>
    <w:semiHidden/>
    <w:rsid w:val="00FE7A5A"/>
    <w:pPr>
      <w:ind w:left="400"/>
    </w:pPr>
  </w:style>
  <w:style w:type="paragraph" w:styleId="TOC4">
    <w:name w:val="toc 4"/>
    <w:basedOn w:val="Normal"/>
    <w:next w:val="Normal"/>
    <w:autoRedefine/>
    <w:semiHidden/>
    <w:rsid w:val="00FE7A5A"/>
    <w:pPr>
      <w:ind w:left="600"/>
    </w:pPr>
  </w:style>
  <w:style w:type="paragraph" w:styleId="TOC5">
    <w:name w:val="toc 5"/>
    <w:basedOn w:val="Normal"/>
    <w:next w:val="Normal"/>
    <w:autoRedefine/>
    <w:semiHidden/>
    <w:rsid w:val="00FE7A5A"/>
    <w:pPr>
      <w:ind w:left="800"/>
    </w:pPr>
  </w:style>
  <w:style w:type="paragraph" w:styleId="TOC6">
    <w:name w:val="toc 6"/>
    <w:basedOn w:val="Normal"/>
    <w:next w:val="Normal"/>
    <w:autoRedefine/>
    <w:semiHidden/>
    <w:rsid w:val="00FE7A5A"/>
    <w:pPr>
      <w:ind w:left="1000"/>
    </w:pPr>
  </w:style>
  <w:style w:type="paragraph" w:styleId="TOC7">
    <w:name w:val="toc 7"/>
    <w:basedOn w:val="Normal"/>
    <w:next w:val="Normal"/>
    <w:autoRedefine/>
    <w:semiHidden/>
    <w:rsid w:val="00FE7A5A"/>
    <w:pPr>
      <w:ind w:left="1200"/>
    </w:pPr>
  </w:style>
  <w:style w:type="paragraph" w:styleId="TOC8">
    <w:name w:val="toc 8"/>
    <w:basedOn w:val="Normal"/>
    <w:next w:val="Normal"/>
    <w:autoRedefine/>
    <w:semiHidden/>
    <w:rsid w:val="00FE7A5A"/>
    <w:pPr>
      <w:ind w:left="1400"/>
    </w:pPr>
  </w:style>
  <w:style w:type="paragraph" w:styleId="TOC9">
    <w:name w:val="toc 9"/>
    <w:basedOn w:val="Normal"/>
    <w:next w:val="Normal"/>
    <w:autoRedefine/>
    <w:semiHidden/>
    <w:rsid w:val="00FE7A5A"/>
    <w:pPr>
      <w:ind w:left="1600"/>
    </w:pPr>
  </w:style>
  <w:style w:type="character" w:styleId="Hyperlink">
    <w:name w:val="Hyperlink"/>
    <w:basedOn w:val="DefaultParagraphFont"/>
    <w:rsid w:val="00FE7A5A"/>
    <w:rPr>
      <w:color w:val="0000FF"/>
      <w:u w:val="single"/>
    </w:rPr>
  </w:style>
  <w:style w:type="paragraph" w:styleId="NormalWeb">
    <w:name w:val="Normal (Web)"/>
    <w:basedOn w:val="Normal"/>
    <w:rsid w:val="0059098C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7C8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7C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C8C"/>
    <w:pPr>
      <w:numPr>
        <w:numId w:val="31"/>
      </w:numPr>
      <w:contextualSpacing/>
    </w:pPr>
    <w:rPr>
      <w:rFonts w:asciiTheme="minorHAnsi" w:hAnsiTheme="minorHAnsi" w:cs="Arial"/>
    </w:rPr>
  </w:style>
  <w:style w:type="character" w:customStyle="1" w:styleId="FooterChar">
    <w:name w:val="Footer Char"/>
    <w:basedOn w:val="DefaultParagraphFont"/>
    <w:link w:val="Footer"/>
    <w:uiPriority w:val="99"/>
    <w:rsid w:val="002454DA"/>
    <w:rPr>
      <w:rFonts w:ascii="Calibri" w:hAnsi="Calibri"/>
      <w:szCs w:val="24"/>
    </w:rPr>
  </w:style>
  <w:style w:type="character" w:styleId="CommentReference">
    <w:name w:val="annotation reference"/>
    <w:basedOn w:val="DefaultParagraphFont"/>
    <w:semiHidden/>
    <w:unhideWhenUsed/>
    <w:rsid w:val="00C868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6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68CF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68CF"/>
    <w:rPr>
      <w:rFonts w:ascii="Arial Narrow" w:hAnsi="Arial Narrow"/>
      <w:b/>
      <w:bCs/>
    </w:rPr>
  </w:style>
  <w:style w:type="paragraph" w:customStyle="1" w:styleId="BulletStyle1">
    <w:name w:val="Bullet Style 1"/>
    <w:basedOn w:val="Normal"/>
    <w:rsid w:val="000D4EF3"/>
    <w:pPr>
      <w:tabs>
        <w:tab w:val="num" w:pos="360"/>
      </w:tabs>
      <w:spacing w:line="240" w:lineRule="auto"/>
      <w:ind w:left="360" w:hanging="360"/>
    </w:pPr>
    <w:rPr>
      <w:rFonts w:eastAsiaTheme="minorEastAsia"/>
      <w:bCs/>
      <w:color w:val="404040" w:themeColor="text1" w:themeTint="BF"/>
      <w:szCs w:val="20"/>
    </w:rPr>
  </w:style>
  <w:style w:type="paragraph" w:customStyle="1" w:styleId="BulletStyle2">
    <w:name w:val="Bullet Style 2"/>
    <w:basedOn w:val="Normal"/>
    <w:rsid w:val="000D4EF3"/>
    <w:pPr>
      <w:spacing w:line="240" w:lineRule="auto"/>
    </w:pPr>
    <w:rPr>
      <w:rFonts w:eastAsiaTheme="minorEastAsia"/>
      <w:bCs/>
      <w:color w:val="404040" w:themeColor="text1" w:themeTint="BF"/>
      <w:szCs w:val="20"/>
    </w:rPr>
  </w:style>
  <w:style w:type="paragraph" w:customStyle="1" w:styleId="BulletStyle3">
    <w:name w:val="Bullet Style 3"/>
    <w:basedOn w:val="Normal"/>
    <w:rsid w:val="000D4EF3"/>
    <w:pPr>
      <w:numPr>
        <w:ilvl w:val="2"/>
        <w:numId w:val="34"/>
      </w:numPr>
      <w:spacing w:line="240" w:lineRule="auto"/>
    </w:pPr>
    <w:rPr>
      <w:rFonts w:eastAsiaTheme="minorEastAsia"/>
      <w:bCs/>
      <w:color w:val="404040" w:themeColor="text1" w:themeTint="BF"/>
      <w:szCs w:val="20"/>
    </w:rPr>
  </w:style>
  <w:style w:type="numbering" w:customStyle="1" w:styleId="MGFFListBullets">
    <w:name w:val="MGFF List Bullets"/>
    <w:uiPriority w:val="99"/>
    <w:rsid w:val="000D4EF3"/>
    <w:pPr>
      <w:numPr>
        <w:numId w:val="34"/>
      </w:numPr>
    </w:pPr>
  </w:style>
  <w:style w:type="paragraph" w:customStyle="1" w:styleId="FooterStyle">
    <w:name w:val="FooterStyle"/>
    <w:basedOn w:val="Footer"/>
    <w:qFormat/>
    <w:rsid w:val="001518EB"/>
    <w:pPr>
      <w:jc w:val="right"/>
    </w:pPr>
    <w:rPr>
      <w:rFonts w:asciiTheme="minorHAnsi" w:hAnsiTheme="minorHAnsi" w:cs="Arial"/>
      <w:b/>
      <w:bCs/>
      <w:color w:val="64B747"/>
      <w:szCs w:val="20"/>
    </w:rPr>
  </w:style>
  <w:style w:type="paragraph" w:customStyle="1" w:styleId="SubheadTier1">
    <w:name w:val="Subhead Tier 1"/>
    <w:basedOn w:val="Heading1"/>
    <w:qFormat/>
    <w:rsid w:val="001B0AAD"/>
    <w:rPr>
      <w:rFonts w:eastAsiaTheme="minorHAnsi"/>
    </w:rPr>
  </w:style>
  <w:style w:type="paragraph" w:customStyle="1" w:styleId="SubheadTier2">
    <w:name w:val="Subhead Tier 2"/>
    <w:basedOn w:val="Heading2"/>
    <w:qFormat/>
    <w:rsid w:val="00A97C8C"/>
    <w:rPr>
      <w:rFonts w:eastAsiaTheme="minorHAnsi"/>
    </w:rPr>
  </w:style>
  <w:style w:type="paragraph" w:customStyle="1" w:styleId="SubheadTier3">
    <w:name w:val="Subhead Tier 3"/>
    <w:basedOn w:val="Heading3"/>
    <w:qFormat/>
    <w:rsid w:val="00A97C8C"/>
    <w:rPr>
      <w:rFonts w:eastAsiaTheme="minorHAnsi"/>
    </w:rPr>
  </w:style>
  <w:style w:type="paragraph" w:customStyle="1" w:styleId="NormalTextStyle">
    <w:name w:val="Normal Text Style"/>
    <w:basedOn w:val="Normal"/>
    <w:qFormat/>
    <w:rsid w:val="00A97C8C"/>
    <w:rPr>
      <w:rFonts w:eastAsiaTheme="minorHAnsi"/>
    </w:rPr>
  </w:style>
  <w:style w:type="paragraph" w:styleId="Header">
    <w:name w:val="header"/>
    <w:basedOn w:val="Normal"/>
    <w:link w:val="HeaderChar"/>
    <w:unhideWhenUsed/>
    <w:rsid w:val="007C05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C0539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red\Old_N-Drive_FFNData\Communications\Brand\2016%20Refresh\FFN_Office%20Templates_FINAL%202016\FFN_Word_Template_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242862CC3504B8E6A597D3717459F" ma:contentTypeVersion="11" ma:contentTypeDescription="Create a new document." ma:contentTypeScope="" ma:versionID="dbb1694222a1caa1386a0288594a1345">
  <xsd:schema xmlns:xsd="http://www.w3.org/2001/XMLSchema" xmlns:xs="http://www.w3.org/2001/XMLSchema" xmlns:p="http://schemas.microsoft.com/office/2006/metadata/properties" xmlns:ns2="1f6fd5fd-9a98-44f2-8d42-d744c8b49ab2" xmlns:ns3="763e14c1-9618-41bb-acc4-16b440baa12b" targetNamespace="http://schemas.microsoft.com/office/2006/metadata/properties" ma:root="true" ma:fieldsID="d85818498265f9cebea3f11eaea74d07" ns2:_="" ns3:_="">
    <xsd:import namespace="1f6fd5fd-9a98-44f2-8d42-d744c8b49ab2"/>
    <xsd:import namespace="763e14c1-9618-41bb-acc4-16b440baa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d5fd-9a98-44f2-8d42-d744c8b49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14c1-9618-41bb-acc4-16b440baa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869D4-8CDB-4981-8FB3-B41C6C925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0D02A-870A-4860-BBE1-7860705F0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395D3-054F-478B-B4C6-A70D3CA1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d5fd-9a98-44f2-8d42-d744c8b49ab2"/>
    <ds:schemaRef ds:uri="763e14c1-9618-41bb-acc4-16b440baa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0B395-7815-4C55-884E-01B976C47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FFN_Word_Template_FINAL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Enlighten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DeSmet</dc:creator>
  <cp:keywords/>
  <dc:description/>
  <cp:lastModifiedBy>Robin</cp:lastModifiedBy>
  <cp:revision>2</cp:revision>
  <cp:lastPrinted>2021-03-24T18:18:00Z</cp:lastPrinted>
  <dcterms:created xsi:type="dcterms:W3CDTF">2021-03-24T18:42:00Z</dcterms:created>
  <dcterms:modified xsi:type="dcterms:W3CDTF">2021-03-24T18:42:00Z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0x010100863242862CC3504B8E6A597D3717459F</vt:lpwstr>
  </property>
</Properties>
</file>